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E9" w:rsidRPr="008D32F4" w:rsidRDefault="005B0735" w:rsidP="005B0735">
      <w:pPr>
        <w:spacing w:line="276" w:lineRule="auto"/>
        <w:ind w:firstLineChars="350" w:firstLine="1687"/>
        <w:rPr>
          <w:rFonts w:asciiTheme="majorEastAsia" w:eastAsiaTheme="majorEastAsia" w:hAnsiTheme="majorEastAsia"/>
          <w:b/>
          <w:color w:val="4F81BD" w:themeColor="accent1"/>
          <w:sz w:val="48"/>
          <w:szCs w:val="48"/>
        </w:rPr>
      </w:pPr>
      <w:r w:rsidRPr="005B0735">
        <w:rPr>
          <w:rFonts w:asciiTheme="majorEastAsia" w:eastAsiaTheme="majorEastAsia" w:hAnsiTheme="majorEastAsia" w:hint="eastAsia"/>
          <w:b/>
          <w:color w:val="4F81BD" w:themeColor="accent1"/>
          <w:sz w:val="48"/>
          <w:szCs w:val="48"/>
        </w:rPr>
        <w:t>表面预处理测试套件</w:t>
      </w:r>
    </w:p>
    <w:p w:rsidR="005B0735" w:rsidRPr="005B0735" w:rsidRDefault="00195BAC" w:rsidP="005B0735">
      <w:pPr>
        <w:ind w:firstLineChars="250" w:firstLine="525"/>
        <w:rPr>
          <w:rFonts w:hint="eastAsia"/>
        </w:rPr>
      </w:pPr>
      <w:r w:rsidRPr="005B0735">
        <w:t>TQC</w:t>
      </w:r>
      <w:r w:rsidRPr="005B0735">
        <w:t>一家荷兰油漆测试设备制造商，以其创新和突破而闻名；</w:t>
      </w:r>
      <w:r w:rsidRPr="005B0735">
        <w:t>Sheen</w:t>
      </w:r>
      <w:r w:rsidRPr="005B0735">
        <w:t>仪器公司已有</w:t>
      </w:r>
      <w:r w:rsidRPr="005B0735">
        <w:t>70</w:t>
      </w:r>
      <w:r w:rsidRPr="005B0735">
        <w:t>多年的历史，是油漆行业实验室设备的制造商。</w:t>
      </w:r>
      <w:r w:rsidRPr="005B0735">
        <w:t>2017</w:t>
      </w:r>
      <w:r w:rsidRPr="005B0735">
        <w:t>年底，</w:t>
      </w:r>
      <w:r w:rsidRPr="005B0735">
        <w:t>TQC</w:t>
      </w:r>
      <w:r w:rsidRPr="005B0735">
        <w:t>公司正式收购英国</w:t>
      </w:r>
      <w:r w:rsidRPr="005B0735">
        <w:t>Sheen</w:t>
      </w:r>
      <w:r w:rsidRPr="005B0735">
        <w:t>仪器公司。如今，两家公司强</w:t>
      </w:r>
      <w:proofErr w:type="gramStart"/>
      <w:r w:rsidRPr="005B0735">
        <w:t>强</w:t>
      </w:r>
      <w:proofErr w:type="gramEnd"/>
      <w:r w:rsidRPr="005B0735">
        <w:t>联合。新的品牌名称为</w:t>
      </w:r>
      <w:r w:rsidRPr="005B0735">
        <w:t>TQC Sheen</w:t>
      </w:r>
      <w:r w:rsidRPr="005B0735">
        <w:t>，代表着品牌能提供最广泛的油漆测试设备，包括实验室检测设备、工业表面涂层测试设备和保护涂层试验设备等</w:t>
      </w:r>
      <w:r w:rsidRPr="005B0735">
        <w:rPr>
          <w:b/>
          <w:bCs/>
        </w:rPr>
        <w:t>。</w:t>
      </w:r>
      <w:r w:rsidR="005B0735" w:rsidRPr="005B0735">
        <w:br/>
      </w:r>
    </w:p>
    <w:p w:rsidR="00A90345" w:rsidRPr="005B0735" w:rsidRDefault="005B0735" w:rsidP="005B0735">
      <w:pPr>
        <w:spacing w:line="276" w:lineRule="auto"/>
        <w:rPr>
          <w:b/>
          <w:sz w:val="28"/>
          <w:szCs w:val="28"/>
        </w:rPr>
      </w:pPr>
      <w:r w:rsidRPr="005B0735">
        <w:rPr>
          <w:rFonts w:hint="eastAsia"/>
          <w:b/>
          <w:sz w:val="28"/>
          <w:szCs w:val="28"/>
        </w:rPr>
        <w:t>表面预处理测试套件</w:t>
      </w:r>
    </w:p>
    <w:p w:rsidR="005B0735" w:rsidRPr="005B0735" w:rsidRDefault="005B0735" w:rsidP="005B0735">
      <w:pPr>
        <w:spacing w:line="276" w:lineRule="auto"/>
        <w:ind w:firstLineChars="250" w:firstLine="525"/>
        <w:rPr>
          <w:rFonts w:hint="eastAsia"/>
        </w:rPr>
      </w:pPr>
      <w:r w:rsidRPr="005B0735">
        <w:t>TQC</w:t>
      </w:r>
      <w:r w:rsidRPr="005B0735">
        <w:t>预处理测试套装包括所有必要的预处理设备用于涂装前评估可溶性</w:t>
      </w:r>
      <w:proofErr w:type="gramStart"/>
      <w:r w:rsidRPr="005B0735">
        <w:t>盐用于</w:t>
      </w:r>
      <w:proofErr w:type="gramEnd"/>
      <w:r w:rsidRPr="005B0735">
        <w:t>表面涂层的污染程度。</w:t>
      </w:r>
      <w:r w:rsidRPr="005B0735">
        <w:t>PTK BASIC</w:t>
      </w:r>
      <w:r w:rsidRPr="005B0735">
        <w:t>套装是配套</w:t>
      </w:r>
      <w:proofErr w:type="gramStart"/>
      <w:r w:rsidRPr="005B0735">
        <w:t>齐全可</w:t>
      </w:r>
      <w:proofErr w:type="gramEnd"/>
      <w:r w:rsidRPr="005B0735">
        <w:t>方便使用的。坚固的手提箱可保护检查工具和测量设备，协助检查的油漆检测人员检查清洗的钢铁制品。</w:t>
      </w:r>
      <w:r w:rsidRPr="005B0735">
        <w:t>BASIC</w:t>
      </w:r>
      <w:r w:rsidRPr="005B0735">
        <w:t>成套工具包含表面和媒介测量、尘土测试成套工具和显微镜检查镜子的一个布雷勒测试。完整的成套工具还可选择做一些其他方面的项目检测。表面的正确预处理工序质量是涂层应用的根本保证，并且它能保证</w:t>
      </w:r>
      <w:proofErr w:type="gramStart"/>
      <w:r w:rsidRPr="005B0735">
        <w:t>最佳达到</w:t>
      </w:r>
      <w:proofErr w:type="gramEnd"/>
      <w:r w:rsidRPr="005B0735">
        <w:t>使用寿命。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5B0735" w:rsidRP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5B0735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产品特点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</w:t>
      </w:r>
      <w:r w:rsidRPr="005B0735">
        <w:rPr>
          <w:rFonts w:asciiTheme="minorEastAsia" w:eastAsiaTheme="minorEastAsia" w:hAnsiTheme="minorEastAsia" w:cs="Tahoma" w:hint="eastAsia"/>
          <w:b/>
          <w:bCs/>
          <w:color w:val="333333"/>
          <w:kern w:val="2"/>
          <w:sz w:val="21"/>
          <w:szCs w:val="21"/>
        </w:rPr>
        <w:t>·</w:t>
      </w: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全套涂装前评估测试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</w:t>
      </w:r>
      <w:r w:rsidRPr="005B0735">
        <w:rPr>
          <w:rFonts w:asciiTheme="minorEastAsia" w:eastAsiaTheme="minorEastAsia" w:hAnsiTheme="minorEastAsia" w:cs="Tahoma" w:hint="eastAsia"/>
          <w:b/>
          <w:bCs/>
          <w:color w:val="333333"/>
          <w:kern w:val="2"/>
          <w:sz w:val="21"/>
          <w:szCs w:val="21"/>
        </w:rPr>
        <w:t>·</w:t>
      </w: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多种表面涂层的污染程度测试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</w:t>
      </w:r>
      <w:r w:rsidRPr="005B0735">
        <w:rPr>
          <w:rFonts w:asciiTheme="minorEastAsia" w:eastAsiaTheme="minorEastAsia" w:hAnsiTheme="minorEastAsia" w:cs="Tahoma" w:hint="eastAsia"/>
          <w:b/>
          <w:bCs/>
          <w:color w:val="333333"/>
          <w:kern w:val="2"/>
          <w:sz w:val="21"/>
          <w:szCs w:val="21"/>
        </w:rPr>
        <w:t>·</w:t>
      </w: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多种检测项目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</w:t>
      </w:r>
      <w:r w:rsidRPr="005B0735">
        <w:rPr>
          <w:rFonts w:asciiTheme="minorEastAsia" w:eastAsiaTheme="minorEastAsia" w:hAnsiTheme="minorEastAsia" w:cs="Tahoma" w:hint="eastAsia"/>
          <w:b/>
          <w:bCs/>
          <w:color w:val="333333"/>
          <w:kern w:val="2"/>
          <w:sz w:val="21"/>
          <w:szCs w:val="21"/>
        </w:rPr>
        <w:t>·</w:t>
      </w: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便携式，携带方便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5B0735" w:rsidRP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5B0735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应用领域</w:t>
      </w:r>
    </w:p>
    <w:p w:rsidR="005B0735" w:rsidRP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i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     </w:t>
      </w:r>
      <w:r w:rsidRPr="005B0735">
        <w:rPr>
          <w:rFonts w:asciiTheme="minorEastAsia" w:eastAsiaTheme="minorEastAsia" w:hAnsiTheme="minorEastAsia" w:cs="Tahoma" w:hint="eastAsia"/>
          <w:bCs/>
          <w:i/>
          <w:color w:val="333333"/>
          <w:kern w:val="2"/>
          <w:sz w:val="21"/>
          <w:szCs w:val="21"/>
        </w:rPr>
        <w:t>表面处理︱涂装前处理︱钢铁表面处理︱涂装前评估︱清洁度测试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5B0735" w:rsidRP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5B0735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行业标准</w:t>
      </w:r>
    </w:p>
    <w:p w:rsid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ASTM D3359</w:t>
      </w:r>
      <w:proofErr w:type="gramStart"/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;ASTM</w:t>
      </w:r>
      <w:proofErr w:type="gramEnd"/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D4417;ISO 2409;ISO 8501-1;ISO 8502-3;ISO 8502-6;</w:t>
      </w:r>
    </w:p>
    <w:p w:rsidR="005B0735" w:rsidRPr="005B0735" w:rsidRDefault="005B0735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ISO 8502-9</w:t>
      </w:r>
      <w:proofErr w:type="gramStart"/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;ISO</w:t>
      </w:r>
      <w:proofErr w:type="gramEnd"/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8503-01</w:t>
      </w:r>
    </w:p>
    <w:p w:rsidR="005B0735" w:rsidRDefault="005B0735" w:rsidP="005B0735">
      <w:pPr>
        <w:pStyle w:val="a3"/>
        <w:shd w:val="clear" w:color="auto" w:fill="FFFFFF"/>
        <w:spacing w:before="0" w:beforeAutospacing="0" w:after="0" w:afterAutospacing="0" w:line="276" w:lineRule="auto"/>
        <w:ind w:firstLineChars="750" w:firstLine="1575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noProof/>
          <w:color w:val="333333"/>
          <w:kern w:val="2"/>
          <w:sz w:val="21"/>
          <w:szCs w:val="21"/>
        </w:rPr>
        <w:drawing>
          <wp:inline distT="0" distB="0" distL="0" distR="0">
            <wp:extent cx="2657475" cy="2657475"/>
            <wp:effectExtent l="0" t="0" r="0" b="0"/>
            <wp:docPr id="2" name="图片 1" descr="pre-treatment-SP7316-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-treatment-SP7316-01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196" cy="265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735" w:rsidRPr="00DF1447" w:rsidRDefault="005B0735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DF1447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lastRenderedPageBreak/>
        <w:t>规格参数</w:t>
      </w:r>
    </w:p>
    <w:tbl>
      <w:tblPr>
        <w:tblStyle w:val="a8"/>
        <w:tblW w:w="0" w:type="auto"/>
        <w:tblLook w:val="04A0"/>
      </w:tblPr>
      <w:tblGrid>
        <w:gridCol w:w="4077"/>
        <w:gridCol w:w="1418"/>
        <w:gridCol w:w="1328"/>
      </w:tblGrid>
      <w:tr w:rsidR="005B0735" w:rsidTr="00DF1447">
        <w:trPr>
          <w:trHeight w:val="353"/>
        </w:trPr>
        <w:tc>
          <w:tcPr>
            <w:tcW w:w="4077" w:type="dxa"/>
          </w:tcPr>
          <w:p w:rsidR="005B0735" w:rsidRDefault="005B0735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PTK表面预处理测试套件</w:t>
            </w:r>
          </w:p>
        </w:tc>
        <w:tc>
          <w:tcPr>
            <w:tcW w:w="1418" w:type="dxa"/>
          </w:tcPr>
          <w:p w:rsidR="005B0735" w:rsidRDefault="005B0735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基本套件</w:t>
            </w:r>
          </w:p>
        </w:tc>
        <w:tc>
          <w:tcPr>
            <w:tcW w:w="1328" w:type="dxa"/>
          </w:tcPr>
          <w:p w:rsidR="005B0735" w:rsidRDefault="005B0735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全套件</w:t>
            </w:r>
          </w:p>
        </w:tc>
      </w:tr>
      <w:tr w:rsidR="005B0735" w:rsidTr="00DF1447">
        <w:trPr>
          <w:trHeight w:val="338"/>
        </w:trPr>
        <w:tc>
          <w:tcPr>
            <w:tcW w:w="4077" w:type="dxa"/>
          </w:tcPr>
          <w:p w:rsidR="005B0735" w:rsidRDefault="005B0735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 xml:space="preserve">SP7310 </w:t>
            </w:r>
            <w:proofErr w:type="spell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TQCBresle</w:t>
            </w:r>
            <w:proofErr w:type="spellEnd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盐分测试套件</w:t>
            </w:r>
          </w:p>
        </w:tc>
        <w:tc>
          <w:tcPr>
            <w:tcW w:w="141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  <w:tc>
          <w:tcPr>
            <w:tcW w:w="132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5B0735" w:rsidTr="00DF1447">
        <w:trPr>
          <w:trHeight w:val="353"/>
        </w:trPr>
        <w:tc>
          <w:tcPr>
            <w:tcW w:w="4077" w:type="dxa"/>
          </w:tcPr>
          <w:p w:rsidR="005B0735" w:rsidRDefault="005B0735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SP3200灰尘测试套件</w:t>
            </w:r>
          </w:p>
        </w:tc>
        <w:tc>
          <w:tcPr>
            <w:tcW w:w="141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  <w:tc>
          <w:tcPr>
            <w:tcW w:w="132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5B0735" w:rsidTr="00DF1447">
        <w:trPr>
          <w:trHeight w:val="353"/>
        </w:trPr>
        <w:tc>
          <w:tcPr>
            <w:tcW w:w="4077" w:type="dxa"/>
          </w:tcPr>
          <w:p w:rsidR="005B0735" w:rsidRDefault="005B0735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LD3025油漆检查镜</w:t>
            </w:r>
          </w:p>
        </w:tc>
        <w:tc>
          <w:tcPr>
            <w:tcW w:w="141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  <w:tc>
          <w:tcPr>
            <w:tcW w:w="132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5B0735" w:rsidTr="00DF1447">
        <w:trPr>
          <w:trHeight w:val="338"/>
        </w:trPr>
        <w:tc>
          <w:tcPr>
            <w:tcW w:w="4077" w:type="dxa"/>
          </w:tcPr>
          <w:p w:rsidR="005B0735" w:rsidRDefault="00DF1447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DC7100露水检查</w:t>
            </w:r>
          </w:p>
        </w:tc>
        <w:tc>
          <w:tcPr>
            <w:tcW w:w="1418" w:type="dxa"/>
          </w:tcPr>
          <w:p w:rsidR="005B0735" w:rsidRDefault="005B0735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5B0735" w:rsidTr="00DF1447">
        <w:trPr>
          <w:trHeight w:val="353"/>
        </w:trPr>
        <w:tc>
          <w:tcPr>
            <w:tcW w:w="4077" w:type="dxa"/>
          </w:tcPr>
          <w:p w:rsidR="005B0735" w:rsidRDefault="00DF1447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SP1560轮廓仪</w:t>
            </w:r>
          </w:p>
        </w:tc>
        <w:tc>
          <w:tcPr>
            <w:tcW w:w="1418" w:type="dxa"/>
          </w:tcPr>
          <w:p w:rsidR="005B0735" w:rsidRDefault="005B0735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DF1447" w:rsidTr="00DF1447">
        <w:trPr>
          <w:trHeight w:val="353"/>
        </w:trPr>
        <w:tc>
          <w:tcPr>
            <w:tcW w:w="4077" w:type="dxa"/>
          </w:tcPr>
          <w:p w:rsidR="00DF1447" w:rsidRDefault="00DF1447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SP3600胶带压平器</w:t>
            </w:r>
          </w:p>
        </w:tc>
        <w:tc>
          <w:tcPr>
            <w:tcW w:w="141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DF1447" w:rsidTr="00DF1447">
        <w:trPr>
          <w:trHeight w:val="353"/>
        </w:trPr>
        <w:tc>
          <w:tcPr>
            <w:tcW w:w="4077" w:type="dxa"/>
          </w:tcPr>
          <w:p w:rsidR="00DF1447" w:rsidRDefault="00DF1447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LD3020 ISO 8501-1;2007腐蚀等级</w:t>
            </w:r>
          </w:p>
        </w:tc>
        <w:tc>
          <w:tcPr>
            <w:tcW w:w="141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DF1447" w:rsidTr="00DF1447">
        <w:trPr>
          <w:trHeight w:val="353"/>
        </w:trPr>
        <w:tc>
          <w:tcPr>
            <w:tcW w:w="4077" w:type="dxa"/>
          </w:tcPr>
          <w:p w:rsidR="00DF1447" w:rsidRDefault="00DF1447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LD2040表面粗糙度比对块</w:t>
            </w:r>
          </w:p>
        </w:tc>
        <w:tc>
          <w:tcPr>
            <w:tcW w:w="141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DF1447" w:rsidTr="00DF1447">
        <w:trPr>
          <w:trHeight w:val="353"/>
        </w:trPr>
        <w:tc>
          <w:tcPr>
            <w:tcW w:w="4077" w:type="dxa"/>
          </w:tcPr>
          <w:p w:rsidR="00DF1447" w:rsidRDefault="00DF1447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LD7215紫外线检查手电筒</w:t>
            </w:r>
          </w:p>
        </w:tc>
        <w:tc>
          <w:tcPr>
            <w:tcW w:w="141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DF1447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  <w:tr w:rsidR="005B0735" w:rsidTr="00DF1447">
        <w:trPr>
          <w:trHeight w:val="353"/>
        </w:trPr>
        <w:tc>
          <w:tcPr>
            <w:tcW w:w="4077" w:type="dxa"/>
          </w:tcPr>
          <w:p w:rsidR="005B0735" w:rsidRDefault="00DF1447" w:rsidP="005B0735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SP3000MastedPaintPlate卡片式测试工具</w:t>
            </w:r>
          </w:p>
        </w:tc>
        <w:tc>
          <w:tcPr>
            <w:tcW w:w="1418" w:type="dxa"/>
          </w:tcPr>
          <w:p w:rsidR="005B0735" w:rsidRDefault="005B0735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328" w:type="dxa"/>
          </w:tcPr>
          <w:p w:rsidR="005B0735" w:rsidRDefault="00DF1447" w:rsidP="00DF144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√</w:t>
            </w:r>
          </w:p>
        </w:tc>
      </w:tr>
    </w:tbl>
    <w:p w:rsidR="005B0735" w:rsidRDefault="005B0735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5B0735" w:rsidRP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DF1447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订购信息</w:t>
      </w:r>
    </w:p>
    <w:p w:rsid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1、SP7315    TQC基本表面预处理测试套件</w:t>
      </w:r>
    </w:p>
    <w:p w:rsid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2、SP7316    TQC全套表面预处理测试套件</w:t>
      </w:r>
    </w:p>
    <w:p w:rsid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DF1447" w:rsidRDefault="00DF1447" w:rsidP="005B073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195BAC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更多产品</w:t>
      </w:r>
      <w:proofErr w:type="gramStart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咨询请</w:t>
      </w:r>
      <w:proofErr w:type="gramEnd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联系：</w:t>
      </w:r>
    </w:p>
    <w:p w:rsidR="00562BF9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电话：13901312374</w:t>
      </w:r>
      <w:r w:rsidR="00FD287A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         </w:t>
      </w:r>
    </w:p>
    <w:p w:rsidR="00195BAC" w:rsidRPr="00BF1C46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邮箱：13901312374@139.com</w:t>
      </w:r>
    </w:p>
    <w:p w:rsidR="00195BAC" w:rsidRPr="00FC77EE" w:rsidRDefault="00195BAC" w:rsidP="00FC77EE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z w:val="26"/>
          <w:szCs w:val="26"/>
        </w:rPr>
        <w:drawing>
          <wp:inline distT="0" distB="0" distL="0" distR="0">
            <wp:extent cx="2019300" cy="2019300"/>
            <wp:effectExtent l="19050" t="0" r="0" b="0"/>
            <wp:docPr id="48" name="图片 48" descr="https://mmbiz.qpic.cn/mmbiz_jpg/hRG1wA0P6OE8PlOJLLM4Piap3SdUSXOt8jlR2S7DqqE1iahZd4PzJQibK3ETJrKooZOsWMoUwOUHvqgOrqkFZxEo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mbiz.qpic.cn/mmbiz_jpg/hRG1wA0P6OE8PlOJLLM4Piap3SdUSXOt8jlR2S7DqqE1iahZd4PzJQibK3ETJrKooZOsWMoUwOUHvqgOrqkFZxEow/640?wx_fmt=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BAC" w:rsidRPr="00FC77EE" w:rsidSect="00E4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857"/>
    <w:multiLevelType w:val="hybridMultilevel"/>
    <w:tmpl w:val="B0DA3A2E"/>
    <w:lvl w:ilvl="0" w:tplc="D7EC305C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3F562AE"/>
    <w:multiLevelType w:val="hybridMultilevel"/>
    <w:tmpl w:val="2E943B64"/>
    <w:lvl w:ilvl="0" w:tplc="812A8B52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15" w:hanging="420"/>
      </w:pPr>
    </w:lvl>
    <w:lvl w:ilvl="2" w:tplc="0409001B" w:tentative="1">
      <w:start w:val="1"/>
      <w:numFmt w:val="lowerRoman"/>
      <w:lvlText w:val="%3."/>
      <w:lvlJc w:val="righ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9" w:tentative="1">
      <w:start w:val="1"/>
      <w:numFmt w:val="lowerLetter"/>
      <w:lvlText w:val="%5)"/>
      <w:lvlJc w:val="left"/>
      <w:pPr>
        <w:ind w:left="3975" w:hanging="420"/>
      </w:pPr>
    </w:lvl>
    <w:lvl w:ilvl="5" w:tplc="0409001B" w:tentative="1">
      <w:start w:val="1"/>
      <w:numFmt w:val="lowerRoman"/>
      <w:lvlText w:val="%6."/>
      <w:lvlJc w:val="righ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9" w:tentative="1">
      <w:start w:val="1"/>
      <w:numFmt w:val="lowerLetter"/>
      <w:lvlText w:val="%8)"/>
      <w:lvlJc w:val="left"/>
      <w:pPr>
        <w:ind w:left="5235" w:hanging="420"/>
      </w:pPr>
    </w:lvl>
    <w:lvl w:ilvl="8" w:tplc="0409001B" w:tentative="1">
      <w:start w:val="1"/>
      <w:numFmt w:val="lowerRoman"/>
      <w:lvlText w:val="%9."/>
      <w:lvlJc w:val="right"/>
      <w:pPr>
        <w:ind w:left="5655" w:hanging="420"/>
      </w:pPr>
    </w:lvl>
  </w:abstractNum>
  <w:abstractNum w:abstractNumId="2">
    <w:nsid w:val="600B5AEE"/>
    <w:multiLevelType w:val="hybridMultilevel"/>
    <w:tmpl w:val="AF8AAC08"/>
    <w:lvl w:ilvl="0" w:tplc="E12A9CD2">
      <w:start w:val="1"/>
      <w:numFmt w:val="decimal"/>
      <w:lvlText w:val="%1）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15" w:hanging="420"/>
      </w:pPr>
    </w:lvl>
    <w:lvl w:ilvl="2" w:tplc="0409001B" w:tentative="1">
      <w:start w:val="1"/>
      <w:numFmt w:val="lowerRoman"/>
      <w:lvlText w:val="%3."/>
      <w:lvlJc w:val="righ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9" w:tentative="1">
      <w:start w:val="1"/>
      <w:numFmt w:val="lowerLetter"/>
      <w:lvlText w:val="%5)"/>
      <w:lvlJc w:val="left"/>
      <w:pPr>
        <w:ind w:left="3975" w:hanging="420"/>
      </w:pPr>
    </w:lvl>
    <w:lvl w:ilvl="5" w:tplc="0409001B" w:tentative="1">
      <w:start w:val="1"/>
      <w:numFmt w:val="lowerRoman"/>
      <w:lvlText w:val="%6."/>
      <w:lvlJc w:val="righ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9" w:tentative="1">
      <w:start w:val="1"/>
      <w:numFmt w:val="lowerLetter"/>
      <w:lvlText w:val="%8)"/>
      <w:lvlJc w:val="left"/>
      <w:pPr>
        <w:ind w:left="5235" w:hanging="420"/>
      </w:pPr>
    </w:lvl>
    <w:lvl w:ilvl="8" w:tplc="0409001B" w:tentative="1">
      <w:start w:val="1"/>
      <w:numFmt w:val="lowerRoman"/>
      <w:lvlText w:val="%9."/>
      <w:lvlJc w:val="right"/>
      <w:pPr>
        <w:ind w:left="565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26C"/>
    <w:rsid w:val="000213D3"/>
    <w:rsid w:val="00023486"/>
    <w:rsid w:val="00096D37"/>
    <w:rsid w:val="000C4FEB"/>
    <w:rsid w:val="000D4C05"/>
    <w:rsid w:val="00101CC6"/>
    <w:rsid w:val="00190BAC"/>
    <w:rsid w:val="00195BAC"/>
    <w:rsid w:val="001B51E6"/>
    <w:rsid w:val="001C5B6B"/>
    <w:rsid w:val="001E51C8"/>
    <w:rsid w:val="001E607C"/>
    <w:rsid w:val="002017CE"/>
    <w:rsid w:val="00254A32"/>
    <w:rsid w:val="00260DB1"/>
    <w:rsid w:val="00263C5E"/>
    <w:rsid w:val="002677C7"/>
    <w:rsid w:val="002E32E4"/>
    <w:rsid w:val="0030050E"/>
    <w:rsid w:val="00426908"/>
    <w:rsid w:val="004B704D"/>
    <w:rsid w:val="00520D6D"/>
    <w:rsid w:val="00562BF9"/>
    <w:rsid w:val="005878E8"/>
    <w:rsid w:val="00590D64"/>
    <w:rsid w:val="005B0735"/>
    <w:rsid w:val="00621C32"/>
    <w:rsid w:val="0062426C"/>
    <w:rsid w:val="00694FD2"/>
    <w:rsid w:val="006D02B4"/>
    <w:rsid w:val="00806810"/>
    <w:rsid w:val="008D32F4"/>
    <w:rsid w:val="008E7826"/>
    <w:rsid w:val="00A31BF9"/>
    <w:rsid w:val="00A90345"/>
    <w:rsid w:val="00AB11E9"/>
    <w:rsid w:val="00AC013E"/>
    <w:rsid w:val="00AF190B"/>
    <w:rsid w:val="00B25F07"/>
    <w:rsid w:val="00B82CBE"/>
    <w:rsid w:val="00BF1C46"/>
    <w:rsid w:val="00DD6F43"/>
    <w:rsid w:val="00DF1447"/>
    <w:rsid w:val="00E417E2"/>
    <w:rsid w:val="00F20ECA"/>
    <w:rsid w:val="00F6581F"/>
    <w:rsid w:val="00F8546B"/>
    <w:rsid w:val="00F949B8"/>
    <w:rsid w:val="00FC77EE"/>
    <w:rsid w:val="00FD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E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D32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426C"/>
    <w:rPr>
      <w:b/>
      <w:bCs/>
    </w:rPr>
  </w:style>
  <w:style w:type="character" w:customStyle="1" w:styleId="character">
    <w:name w:val="character"/>
    <w:basedOn w:val="a0"/>
    <w:rsid w:val="0062426C"/>
  </w:style>
  <w:style w:type="paragraph" w:styleId="a5">
    <w:name w:val="Balloon Text"/>
    <w:basedOn w:val="a"/>
    <w:link w:val="Char"/>
    <w:uiPriority w:val="99"/>
    <w:semiHidden/>
    <w:unhideWhenUsed/>
    <w:rsid w:val="006242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426C"/>
    <w:rPr>
      <w:sz w:val="18"/>
      <w:szCs w:val="18"/>
    </w:rPr>
  </w:style>
  <w:style w:type="paragraph" w:styleId="a6">
    <w:name w:val="List Paragraph"/>
    <w:basedOn w:val="a"/>
    <w:uiPriority w:val="34"/>
    <w:qFormat/>
    <w:rsid w:val="001B51E6"/>
    <w:pPr>
      <w:ind w:firstLineChars="200" w:firstLine="420"/>
    </w:pPr>
  </w:style>
  <w:style w:type="character" w:styleId="a7">
    <w:name w:val="Emphasis"/>
    <w:basedOn w:val="a0"/>
    <w:uiPriority w:val="20"/>
    <w:qFormat/>
    <w:rsid w:val="00DD6F43"/>
    <w:rPr>
      <w:i/>
      <w:iCs/>
    </w:rPr>
  </w:style>
  <w:style w:type="table" w:styleId="a8">
    <w:name w:val="Table Grid"/>
    <w:basedOn w:val="a1"/>
    <w:uiPriority w:val="59"/>
    <w:rsid w:val="003005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8D32F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8F8A-AB35-4D24-9C9F-C9F50234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cp:lastPrinted>2020-04-29T04:18:00Z</cp:lastPrinted>
  <dcterms:created xsi:type="dcterms:W3CDTF">2020-04-28T05:47:00Z</dcterms:created>
  <dcterms:modified xsi:type="dcterms:W3CDTF">2020-05-19T02:31:00Z</dcterms:modified>
</cp:coreProperties>
</file>