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93" w:rsidRPr="00C64C93" w:rsidRDefault="00C64C93" w:rsidP="00C64C93">
      <w:pPr>
        <w:spacing w:line="276" w:lineRule="auto"/>
        <w:ind w:firstLineChars="597" w:firstLine="2877"/>
        <w:rPr>
          <w:rFonts w:asciiTheme="majorEastAsia" w:eastAsiaTheme="majorEastAsia" w:hAnsiTheme="majorEastAsia"/>
          <w:b/>
          <w:color w:val="4F81BD" w:themeColor="accent1"/>
          <w:sz w:val="48"/>
          <w:szCs w:val="48"/>
        </w:rPr>
      </w:pPr>
      <w:r w:rsidRPr="00C64C93">
        <w:rPr>
          <w:rFonts w:asciiTheme="majorEastAsia" w:eastAsiaTheme="majorEastAsia" w:hAnsiTheme="majorEastAsia" w:hint="eastAsia"/>
          <w:b/>
          <w:color w:val="4F81BD" w:themeColor="accent1"/>
          <w:sz w:val="48"/>
          <w:szCs w:val="48"/>
        </w:rPr>
        <w:t>比色光箱</w:t>
      </w:r>
    </w:p>
    <w:p w:rsidR="0053197F" w:rsidRDefault="00195BAC" w:rsidP="0053197F">
      <w:pPr>
        <w:spacing w:line="276" w:lineRule="auto"/>
        <w:ind w:firstLineChars="250" w:firstLine="525"/>
        <w:rPr>
          <w:b/>
          <w:bCs/>
        </w:rPr>
      </w:pPr>
      <w:r w:rsidRPr="00EA4982">
        <w:t>TQC</w:t>
      </w:r>
      <w:r w:rsidRPr="00EA4982">
        <w:t>一家荷兰油漆测试设备制造商，以其创新和突破而闻名；</w:t>
      </w:r>
      <w:r w:rsidRPr="00EA4982">
        <w:t>Sheen</w:t>
      </w:r>
      <w:r w:rsidRPr="00EA4982">
        <w:t>仪器公司已有</w:t>
      </w:r>
      <w:r w:rsidRPr="00EA4982">
        <w:t>70</w:t>
      </w:r>
      <w:r w:rsidRPr="00EA4982">
        <w:t>多年的历史，是油漆行业实验室设备的制造商。</w:t>
      </w:r>
      <w:r w:rsidRPr="00EA4982">
        <w:t>2017</w:t>
      </w:r>
      <w:r w:rsidRPr="00EA4982">
        <w:t>年底，</w:t>
      </w:r>
      <w:r w:rsidRPr="00EA4982">
        <w:t>TQC</w:t>
      </w:r>
      <w:r w:rsidRPr="00EA4982">
        <w:t>公司正式收购英国</w:t>
      </w:r>
      <w:r w:rsidRPr="00EA4982">
        <w:t>Sheen</w:t>
      </w:r>
      <w:r w:rsidRPr="00EA4982">
        <w:t>仪器公司。如今，两家公司强</w:t>
      </w:r>
      <w:proofErr w:type="gramStart"/>
      <w:r w:rsidRPr="00EA4982">
        <w:t>强</w:t>
      </w:r>
      <w:proofErr w:type="gramEnd"/>
      <w:r w:rsidRPr="00EA4982">
        <w:t>联合。新的品牌名称为</w:t>
      </w:r>
      <w:r w:rsidRPr="00EA4982">
        <w:t>TQC Sheen</w:t>
      </w:r>
      <w:r w:rsidRPr="00EA4982">
        <w:t>，代表着品牌能提供最广泛的油漆测试设备，包括实验室检测设备、工业表面涂层测试设备和保护涂层试验设备等</w:t>
      </w:r>
      <w:r w:rsidRPr="00EA4982">
        <w:rPr>
          <w:b/>
          <w:bCs/>
        </w:rPr>
        <w:t>。</w:t>
      </w:r>
    </w:p>
    <w:p w:rsidR="0053197F" w:rsidRPr="0053197F" w:rsidRDefault="0053197F" w:rsidP="0053197F">
      <w:pPr>
        <w:spacing w:line="276" w:lineRule="auto"/>
        <w:ind w:firstLineChars="250" w:firstLine="527"/>
        <w:rPr>
          <w:b/>
          <w:bCs/>
        </w:rPr>
      </w:pPr>
    </w:p>
    <w:p w:rsidR="00C64C93" w:rsidRPr="002E3485" w:rsidRDefault="00C64C93" w:rsidP="002E3485">
      <w:pPr>
        <w:spacing w:line="276" w:lineRule="auto"/>
        <w:rPr>
          <w:b/>
          <w:sz w:val="28"/>
          <w:szCs w:val="28"/>
        </w:rPr>
      </w:pPr>
      <w:r w:rsidRPr="002E3485">
        <w:rPr>
          <w:rFonts w:hint="eastAsia"/>
          <w:b/>
          <w:sz w:val="28"/>
          <w:szCs w:val="28"/>
        </w:rPr>
        <w:t>比色光箱</w:t>
      </w:r>
    </w:p>
    <w:p w:rsidR="00C64C93" w:rsidRDefault="002E3485" w:rsidP="002E3485">
      <w:pPr>
        <w:spacing w:line="276" w:lineRule="auto"/>
        <w:ind w:firstLineChars="250" w:firstLine="525"/>
        <w:rPr>
          <w:rFonts w:hint="eastAsia"/>
        </w:rPr>
      </w:pPr>
      <w:r w:rsidRPr="002E3485">
        <w:t>TQC</w:t>
      </w:r>
      <w:r w:rsidRPr="002E3485">
        <w:t>比色光箱适用于需要保持高质量色彩的行业，是对比色差，评定色彩，条件配色重要设备（不同光源照射下色彩会显示不同差异）。</w:t>
      </w:r>
      <w:r w:rsidRPr="002E3485">
        <w:t>TQC</w:t>
      </w:r>
      <w:r w:rsidRPr="002E3485">
        <w:t>比色光箱可提供多种所需要的光源选项，用于评估多种条件下的色彩的色差。使用</w:t>
      </w:r>
      <w:r w:rsidRPr="002E3485">
        <w:t>TQC</w:t>
      </w:r>
      <w:r w:rsidRPr="002E3485">
        <w:t>比色光箱来模拟不同条件下的光源，可对色彩不同光源下的色差进行客观的评价，降低失误。</w:t>
      </w:r>
    </w:p>
    <w:p w:rsidR="002E3485" w:rsidRDefault="00E520A9" w:rsidP="002E3485">
      <w:pPr>
        <w:spacing w:line="276" w:lineRule="auto"/>
        <w:ind w:firstLineChars="250" w:firstLine="525"/>
        <w:rPr>
          <w:rFonts w:hint="eastAsia"/>
        </w:rPr>
      </w:pPr>
      <w:r>
        <w:rPr>
          <w:rFonts w:hint="eastAsia"/>
        </w:rPr>
        <w:t>用于墨水、油漆、塑料、化妆品、纺织品、针织品、皮革、食品、纸张、着色剂和其他有色材料的检查和颜色匹配的多源查看系统。</w:t>
      </w:r>
    </w:p>
    <w:p w:rsidR="00E520A9" w:rsidRDefault="00E520A9" w:rsidP="002E3485">
      <w:pPr>
        <w:spacing w:line="276" w:lineRule="auto"/>
        <w:ind w:firstLineChars="250" w:firstLine="525"/>
        <w:rPr>
          <w:rFonts w:hint="eastAsia"/>
        </w:rPr>
      </w:pPr>
      <w:r>
        <w:rPr>
          <w:rFonts w:hint="eastAsia"/>
        </w:rPr>
        <w:t xml:space="preserve">TQC </w:t>
      </w:r>
      <w:proofErr w:type="spellStart"/>
      <w:r>
        <w:rPr>
          <w:rFonts w:hint="eastAsia"/>
        </w:rPr>
        <w:t>Colorboxes</w:t>
      </w:r>
      <w:proofErr w:type="spellEnd"/>
      <w:r>
        <w:rPr>
          <w:rFonts w:hint="eastAsia"/>
        </w:rPr>
        <w:t>为任何视觉检测提供广泛的照明条件。多种可选择的光源可以评估光泽度、结构、损伤和</w:t>
      </w:r>
      <w:proofErr w:type="gramStart"/>
      <w:r>
        <w:rPr>
          <w:rFonts w:hint="eastAsia"/>
        </w:rPr>
        <w:t>同色异谱现象</w:t>
      </w:r>
      <w:proofErr w:type="gramEnd"/>
      <w:r>
        <w:rPr>
          <w:rFonts w:hint="eastAsia"/>
        </w:rPr>
        <w:t>。</w:t>
      </w:r>
      <w:proofErr w:type="spellStart"/>
      <w:r>
        <w:rPr>
          <w:rFonts w:hint="eastAsia"/>
        </w:rPr>
        <w:t>Colorboxes</w:t>
      </w:r>
      <w:proofErr w:type="spellEnd"/>
      <w:r>
        <w:rPr>
          <w:rFonts w:hint="eastAsia"/>
        </w:rPr>
        <w:t>的宽度为</w:t>
      </w:r>
      <w:r>
        <w:rPr>
          <w:rFonts w:hint="eastAsia"/>
        </w:rPr>
        <w:t>60</w:t>
      </w:r>
      <w:r>
        <w:rPr>
          <w:rFonts w:hint="eastAsia"/>
        </w:rPr>
        <w:t>和</w:t>
      </w:r>
      <w:r>
        <w:rPr>
          <w:rFonts w:hint="eastAsia"/>
        </w:rPr>
        <w:t>120</w:t>
      </w:r>
      <w:r>
        <w:rPr>
          <w:rFonts w:hint="eastAsia"/>
        </w:rPr>
        <w:t>厘米。所有都配有可拆卸的观察台和运行时间计数器。内饰和</w:t>
      </w:r>
      <w:proofErr w:type="gramStart"/>
      <w:r>
        <w:rPr>
          <w:rFonts w:hint="eastAsia"/>
        </w:rPr>
        <w:t>外饰均</w:t>
      </w:r>
      <w:proofErr w:type="gramEnd"/>
      <w:r>
        <w:rPr>
          <w:rFonts w:hint="eastAsia"/>
        </w:rPr>
        <w:t>按照最高质量标准完成。在没有闪烁的情况下在光源之间切换的能力使得机柜非常稳定。</w:t>
      </w:r>
      <w:r>
        <w:rPr>
          <w:rFonts w:hint="eastAsia"/>
        </w:rPr>
        <w:t xml:space="preserve">TQC </w:t>
      </w:r>
      <w:proofErr w:type="spellStart"/>
      <w:r>
        <w:rPr>
          <w:rFonts w:hint="eastAsia"/>
        </w:rPr>
        <w:t>Colorboxes</w:t>
      </w:r>
      <w:proofErr w:type="spellEnd"/>
      <w:r>
        <w:rPr>
          <w:rFonts w:hint="eastAsia"/>
        </w:rPr>
        <w:t>配备</w:t>
      </w:r>
      <w:r>
        <w:rPr>
          <w:rFonts w:hint="eastAsia"/>
        </w:rPr>
        <w:t>110V/220V</w:t>
      </w:r>
      <w:r>
        <w:rPr>
          <w:rFonts w:hint="eastAsia"/>
        </w:rPr>
        <w:t>开关。</w:t>
      </w:r>
    </w:p>
    <w:p w:rsidR="00E520A9" w:rsidRDefault="00E520A9" w:rsidP="00E520A9">
      <w:pPr>
        <w:spacing w:line="276" w:lineRule="auto"/>
        <w:rPr>
          <w:rFonts w:hint="eastAsia"/>
        </w:rPr>
      </w:pPr>
    </w:p>
    <w:p w:rsidR="00E520A9" w:rsidRDefault="00E520A9" w:rsidP="00E520A9">
      <w:pPr>
        <w:spacing w:line="276" w:lineRule="auto"/>
        <w:rPr>
          <w:rFonts w:hint="eastAsia"/>
          <w:b/>
          <w:sz w:val="24"/>
          <w:szCs w:val="24"/>
        </w:rPr>
      </w:pPr>
      <w:r w:rsidRPr="00E520A9">
        <w:rPr>
          <w:rFonts w:hint="eastAsia"/>
          <w:b/>
          <w:sz w:val="24"/>
          <w:szCs w:val="24"/>
        </w:rPr>
        <w:t>产品特点</w:t>
      </w:r>
    </w:p>
    <w:p w:rsidR="00E520A9" w:rsidRPr="00E520A9" w:rsidRDefault="00E520A9" w:rsidP="00E520A9">
      <w:pPr>
        <w:spacing w:line="276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</w:t>
      </w:r>
      <w:r>
        <w:rPr>
          <w:rFonts w:ascii="宋体" w:eastAsia="宋体" w:hAnsi="宋体" w:hint="eastAsia"/>
          <w:b/>
          <w:sz w:val="24"/>
          <w:szCs w:val="24"/>
        </w:rPr>
        <w:t>·</w:t>
      </w:r>
      <w:r w:rsidRPr="00C577D2">
        <w:rPr>
          <w:rFonts w:hint="eastAsia"/>
          <w:szCs w:val="21"/>
        </w:rPr>
        <w:t>灯泡计时器，用于跟踪每个光源的老化以及</w:t>
      </w:r>
      <w:proofErr w:type="spellStart"/>
      <w:r w:rsidRPr="00C577D2">
        <w:rPr>
          <w:rFonts w:hint="eastAsia"/>
          <w:szCs w:val="21"/>
        </w:rPr>
        <w:t>ColorBox</w:t>
      </w:r>
      <w:proofErr w:type="spellEnd"/>
      <w:r w:rsidRPr="00C577D2">
        <w:rPr>
          <w:rFonts w:hint="eastAsia"/>
          <w:szCs w:val="21"/>
        </w:rPr>
        <w:t>的总运行时间</w:t>
      </w:r>
    </w:p>
    <w:p w:rsidR="00C64C93" w:rsidRDefault="00E520A9" w:rsidP="00193027">
      <w:pPr>
        <w:pStyle w:val="a3"/>
        <w:spacing w:before="0" w:beforeAutospacing="0" w:after="0" w:afterAutospacing="0" w:line="276" w:lineRule="auto"/>
        <w:rPr>
          <w:rFonts w:hint="eastAsia"/>
          <w:b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 </w:t>
      </w:r>
      <w:r>
        <w:rPr>
          <w:rFonts w:hint="eastAsia"/>
          <w:b/>
        </w:rPr>
        <w:t>·</w:t>
      </w:r>
      <w:r w:rsidRPr="00C577D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标准配备五种不同的光源</w:t>
      </w:r>
    </w:p>
    <w:p w:rsidR="00E520A9" w:rsidRDefault="00E520A9" w:rsidP="00193027">
      <w:pPr>
        <w:pStyle w:val="a3"/>
        <w:spacing w:before="0" w:beforeAutospacing="0" w:after="0" w:afterAutospacing="0" w:line="276" w:lineRule="auto"/>
        <w:rPr>
          <w:rFonts w:hint="eastAsia"/>
          <w:b/>
        </w:rPr>
      </w:pPr>
      <w:r>
        <w:rPr>
          <w:rFonts w:hint="eastAsia"/>
          <w:b/>
        </w:rPr>
        <w:t xml:space="preserve">     ·</w:t>
      </w:r>
      <w:r w:rsidRPr="00C577D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可以同时激活多个光源</w:t>
      </w:r>
    </w:p>
    <w:p w:rsidR="00E520A9" w:rsidRDefault="00E520A9" w:rsidP="00193027">
      <w:pPr>
        <w:pStyle w:val="a3"/>
        <w:spacing w:before="0" w:beforeAutospacing="0" w:after="0" w:afterAutospacing="0" w:line="276" w:lineRule="auto"/>
        <w:rPr>
          <w:rFonts w:hint="eastAsia"/>
          <w:b/>
        </w:rPr>
      </w:pPr>
      <w:r>
        <w:rPr>
          <w:rFonts w:hint="eastAsia"/>
          <w:b/>
        </w:rPr>
        <w:t xml:space="preserve">     ·</w:t>
      </w:r>
      <w:r w:rsidR="00C577D2" w:rsidRPr="00C577D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紫外线检测和观察荧光增白剂，增白剂或荧光颜料</w:t>
      </w:r>
    </w:p>
    <w:p w:rsidR="00C577D2" w:rsidRDefault="00C577D2" w:rsidP="00193027">
      <w:pPr>
        <w:pStyle w:val="a3"/>
        <w:spacing w:before="0" w:beforeAutospacing="0" w:after="0" w:afterAutospacing="0" w:line="276" w:lineRule="auto"/>
        <w:rPr>
          <w:rFonts w:hint="eastAsia"/>
          <w:b/>
        </w:rPr>
      </w:pPr>
      <w:r>
        <w:rPr>
          <w:rFonts w:hint="eastAsia"/>
          <w:b/>
        </w:rPr>
        <w:t xml:space="preserve">     ·</w:t>
      </w:r>
      <w:r w:rsidRPr="00C577D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标准配置为</w:t>
      </w:r>
      <w:proofErr w:type="spellStart"/>
      <w:r w:rsidRPr="00C577D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Munsell</w:t>
      </w:r>
      <w:proofErr w:type="spellEnd"/>
      <w:r w:rsidRPr="00C577D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N5,5 Grey</w:t>
      </w:r>
      <w:r w:rsidRPr="00C577D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的</w:t>
      </w:r>
      <w:r w:rsidRPr="00C577D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45</w:t>
      </w:r>
      <w:r w:rsidRPr="00C577D2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°倾斜工作台</w:t>
      </w:r>
    </w:p>
    <w:p w:rsidR="00C577D2" w:rsidRDefault="00C577D2" w:rsidP="00193027">
      <w:pPr>
        <w:pStyle w:val="a3"/>
        <w:spacing w:before="0" w:beforeAutospacing="0" w:after="0" w:afterAutospacing="0" w:line="276" w:lineRule="auto"/>
        <w:rPr>
          <w:rFonts w:hint="eastAsia"/>
          <w:b/>
        </w:rPr>
      </w:pPr>
    </w:p>
    <w:p w:rsidR="00C577D2" w:rsidRDefault="00C577D2" w:rsidP="00193027">
      <w:pPr>
        <w:pStyle w:val="a3"/>
        <w:spacing w:before="0" w:beforeAutospacing="0" w:after="0" w:afterAutospacing="0" w:line="276" w:lineRule="auto"/>
        <w:rPr>
          <w:rFonts w:hint="eastAsia"/>
          <w:b/>
        </w:rPr>
      </w:pPr>
      <w:r>
        <w:rPr>
          <w:rFonts w:hint="eastAsia"/>
          <w:b/>
        </w:rPr>
        <w:t>应用标准</w:t>
      </w:r>
    </w:p>
    <w:p w:rsidR="00C577D2" w:rsidRPr="00C577D2" w:rsidRDefault="00C577D2" w:rsidP="00193027">
      <w:pPr>
        <w:pStyle w:val="a3"/>
        <w:spacing w:before="0" w:beforeAutospacing="0" w:after="0" w:afterAutospacing="0" w:line="276" w:lineRule="auto"/>
        <w:rPr>
          <w:rFonts w:hint="eastAsia"/>
          <w:sz w:val="21"/>
          <w:szCs w:val="21"/>
        </w:rPr>
      </w:pPr>
      <w:r>
        <w:rPr>
          <w:rFonts w:hint="eastAsia"/>
          <w:b/>
        </w:rPr>
        <w:t xml:space="preserve">       </w:t>
      </w:r>
      <w:r w:rsidRPr="00C577D2">
        <w:rPr>
          <w:rFonts w:hint="eastAsia"/>
          <w:sz w:val="21"/>
          <w:szCs w:val="21"/>
        </w:rPr>
        <w:t>ASTM D1729    ISO 3664    GB/T 32387</w:t>
      </w:r>
    </w:p>
    <w:p w:rsidR="00C577D2" w:rsidRDefault="00C577D2" w:rsidP="00C577D2">
      <w:pPr>
        <w:pStyle w:val="a3"/>
        <w:spacing w:before="0" w:beforeAutospacing="0" w:after="0" w:afterAutospacing="0" w:line="276" w:lineRule="auto"/>
        <w:ind w:firstLineChars="637" w:firstLine="1535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3257550" cy="227380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250" cy="227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D2" w:rsidRDefault="00C577D2" w:rsidP="00C577D2">
      <w:pPr>
        <w:pStyle w:val="a3"/>
        <w:spacing w:before="0" w:beforeAutospacing="0" w:after="0" w:afterAutospacing="0" w:line="276" w:lineRule="auto"/>
        <w:ind w:firstLineChars="485" w:firstLine="1169"/>
        <w:rPr>
          <w:rFonts w:hint="eastAsia"/>
          <w:b/>
        </w:rPr>
      </w:pPr>
      <w:r>
        <w:rPr>
          <w:rFonts w:hint="eastAsia"/>
          <w:b/>
          <w:noProof/>
        </w:rPr>
        <w:lastRenderedPageBreak/>
        <w:drawing>
          <wp:inline distT="0" distB="0" distL="0" distR="0">
            <wp:extent cx="3638550" cy="237262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7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D2" w:rsidRPr="00C577D2" w:rsidRDefault="00C577D2" w:rsidP="00193027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</w:pPr>
      <w:r w:rsidRPr="00C577D2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t>应用领域</w:t>
      </w:r>
    </w:p>
    <w:p w:rsidR="00C577D2" w:rsidRDefault="00C577D2" w:rsidP="00193027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i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    </w:t>
      </w:r>
      <w:r w:rsidRPr="00C577D2">
        <w:rPr>
          <w:rFonts w:asciiTheme="minorEastAsia" w:eastAsiaTheme="minorEastAsia" w:hAnsiTheme="minorEastAsia" w:cs="Tahoma" w:hint="eastAsia"/>
          <w:bCs/>
          <w:i/>
          <w:color w:val="333333"/>
          <w:kern w:val="2"/>
          <w:sz w:val="21"/>
          <w:szCs w:val="21"/>
        </w:rPr>
        <w:t>色彩对比︱色温色差对比︱涂料行业︱电镀行业︱户外广告︱颜色工程</w:t>
      </w:r>
    </w:p>
    <w:p w:rsidR="00C577D2" w:rsidRDefault="00C577D2" w:rsidP="00193027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</w:pPr>
    </w:p>
    <w:p w:rsidR="00C577D2" w:rsidRPr="00C577D2" w:rsidRDefault="00C577D2" w:rsidP="00193027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</w:pPr>
      <w:r w:rsidRPr="00C577D2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t>规格参数</w:t>
      </w:r>
    </w:p>
    <w:tbl>
      <w:tblPr>
        <w:tblStyle w:val="a8"/>
        <w:tblW w:w="9464" w:type="dxa"/>
        <w:tblLook w:val="04A0"/>
      </w:tblPr>
      <w:tblGrid>
        <w:gridCol w:w="1951"/>
        <w:gridCol w:w="7513"/>
      </w:tblGrid>
      <w:tr w:rsidR="00C577D2" w:rsidTr="006144F3">
        <w:trPr>
          <w:trHeight w:val="429"/>
        </w:trPr>
        <w:tc>
          <w:tcPr>
            <w:tcW w:w="1951" w:type="dxa"/>
          </w:tcPr>
          <w:p w:rsidR="00C577D2" w:rsidRPr="00C577D2" w:rsidRDefault="00C577D2" w:rsidP="006144F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 w:rsidRPr="00C577D2"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型号</w:t>
            </w:r>
          </w:p>
        </w:tc>
        <w:tc>
          <w:tcPr>
            <w:tcW w:w="7513" w:type="dxa"/>
          </w:tcPr>
          <w:p w:rsidR="00C577D2" w:rsidRPr="00C577D2" w:rsidRDefault="00C577D2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 w:rsidRPr="00C577D2"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VF1200</w:t>
            </w:r>
          </w:p>
        </w:tc>
      </w:tr>
      <w:tr w:rsidR="00C577D2" w:rsidTr="006144F3">
        <w:trPr>
          <w:trHeight w:val="429"/>
        </w:trPr>
        <w:tc>
          <w:tcPr>
            <w:tcW w:w="1951" w:type="dxa"/>
          </w:tcPr>
          <w:p w:rsidR="00C577D2" w:rsidRPr="00C577D2" w:rsidRDefault="00C577D2" w:rsidP="006144F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外部尺寸</w:t>
            </w:r>
          </w:p>
        </w:tc>
        <w:tc>
          <w:tcPr>
            <w:tcW w:w="7513" w:type="dxa"/>
          </w:tcPr>
          <w:p w:rsidR="00C577D2" w:rsidRPr="00C577D2" w:rsidRDefault="00C577D2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1310*610*800mm</w:t>
            </w:r>
          </w:p>
        </w:tc>
      </w:tr>
      <w:tr w:rsidR="00C577D2" w:rsidTr="006144F3">
        <w:trPr>
          <w:trHeight w:val="429"/>
        </w:trPr>
        <w:tc>
          <w:tcPr>
            <w:tcW w:w="1951" w:type="dxa"/>
          </w:tcPr>
          <w:p w:rsidR="00C577D2" w:rsidRPr="00C577D2" w:rsidRDefault="00C577D2" w:rsidP="006144F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内部尺寸</w:t>
            </w:r>
          </w:p>
        </w:tc>
        <w:tc>
          <w:tcPr>
            <w:tcW w:w="7513" w:type="dxa"/>
          </w:tcPr>
          <w:p w:rsidR="00C577D2" w:rsidRPr="00C577D2" w:rsidRDefault="00C577D2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1280*590*590mm</w:t>
            </w:r>
          </w:p>
        </w:tc>
      </w:tr>
      <w:tr w:rsidR="00C577D2" w:rsidTr="006144F3">
        <w:trPr>
          <w:trHeight w:val="429"/>
        </w:trPr>
        <w:tc>
          <w:tcPr>
            <w:tcW w:w="1951" w:type="dxa"/>
          </w:tcPr>
          <w:p w:rsidR="00C577D2" w:rsidRPr="00C577D2" w:rsidRDefault="006144F3" w:rsidP="006144F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光源类型D65</w:t>
            </w:r>
          </w:p>
        </w:tc>
        <w:tc>
          <w:tcPr>
            <w:tcW w:w="7513" w:type="dxa"/>
          </w:tcPr>
          <w:p w:rsidR="00C577D2" w:rsidRPr="00C577D2" w:rsidRDefault="006144F3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色温6500K“人造日光”荧光灯，国际标准人工日光光源</w:t>
            </w:r>
          </w:p>
        </w:tc>
      </w:tr>
      <w:tr w:rsidR="00C577D2" w:rsidTr="006144F3">
        <w:trPr>
          <w:trHeight w:val="429"/>
        </w:trPr>
        <w:tc>
          <w:tcPr>
            <w:tcW w:w="1951" w:type="dxa"/>
          </w:tcPr>
          <w:p w:rsidR="00C577D2" w:rsidRPr="00C577D2" w:rsidRDefault="006144F3" w:rsidP="006144F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光源类型TL84</w:t>
            </w:r>
          </w:p>
        </w:tc>
        <w:tc>
          <w:tcPr>
            <w:tcW w:w="7513" w:type="dxa"/>
          </w:tcPr>
          <w:p w:rsidR="00C577D2" w:rsidRPr="00C577D2" w:rsidRDefault="006144F3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色温4000K通常选用作为“销售点”照明，欧洲、日本商用光源</w:t>
            </w:r>
          </w:p>
        </w:tc>
      </w:tr>
      <w:tr w:rsidR="00C577D2" w:rsidTr="006144F3">
        <w:trPr>
          <w:trHeight w:val="429"/>
        </w:trPr>
        <w:tc>
          <w:tcPr>
            <w:tcW w:w="1951" w:type="dxa"/>
          </w:tcPr>
          <w:p w:rsidR="00C577D2" w:rsidRPr="00C577D2" w:rsidRDefault="006144F3" w:rsidP="006144F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光源类型D5000</w:t>
            </w:r>
          </w:p>
        </w:tc>
        <w:tc>
          <w:tcPr>
            <w:tcW w:w="7513" w:type="dxa"/>
          </w:tcPr>
          <w:p w:rsidR="00C577D2" w:rsidRPr="00C577D2" w:rsidRDefault="006144F3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色温5000K标准光源灯管</w:t>
            </w:r>
          </w:p>
        </w:tc>
      </w:tr>
      <w:tr w:rsidR="00C577D2" w:rsidTr="006144F3">
        <w:trPr>
          <w:trHeight w:val="429"/>
        </w:trPr>
        <w:tc>
          <w:tcPr>
            <w:tcW w:w="1951" w:type="dxa"/>
          </w:tcPr>
          <w:p w:rsidR="00C577D2" w:rsidRPr="00C577D2" w:rsidRDefault="006144F3" w:rsidP="006144F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光源类型F/A</w:t>
            </w:r>
          </w:p>
        </w:tc>
        <w:tc>
          <w:tcPr>
            <w:tcW w:w="7513" w:type="dxa"/>
          </w:tcPr>
          <w:p w:rsidR="00C577D2" w:rsidRDefault="006144F3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色温2700K F光源是夹</w:t>
            </w:r>
            <w:proofErr w:type="gramStart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头酒店</w:t>
            </w:r>
            <w:proofErr w:type="gramEnd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用灯、比色参考光源，夕阳光、黄光源、落日黄</w:t>
            </w:r>
          </w:p>
          <w:p w:rsidR="006144F3" w:rsidRPr="00C577D2" w:rsidRDefault="006144F3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色温2856K A光源，INCA光源（特殊钨丝灯），为美式橱窗射灯，多为美式灯箱</w:t>
            </w:r>
          </w:p>
        </w:tc>
      </w:tr>
      <w:tr w:rsidR="00C577D2" w:rsidTr="006144F3">
        <w:trPr>
          <w:trHeight w:val="429"/>
        </w:trPr>
        <w:tc>
          <w:tcPr>
            <w:tcW w:w="1951" w:type="dxa"/>
          </w:tcPr>
          <w:p w:rsidR="00C577D2" w:rsidRPr="00C577D2" w:rsidRDefault="006144F3" w:rsidP="006144F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光源类型UV</w:t>
            </w:r>
          </w:p>
        </w:tc>
        <w:tc>
          <w:tcPr>
            <w:tcW w:w="7513" w:type="dxa"/>
          </w:tcPr>
          <w:p w:rsidR="00C577D2" w:rsidRPr="00C577D2" w:rsidRDefault="006144F3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紫外灯光源</w:t>
            </w:r>
          </w:p>
        </w:tc>
      </w:tr>
    </w:tbl>
    <w:p w:rsidR="00C577D2" w:rsidRPr="00C577D2" w:rsidRDefault="00C577D2" w:rsidP="00193027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i/>
          <w:color w:val="333333"/>
          <w:kern w:val="2"/>
          <w:sz w:val="21"/>
          <w:szCs w:val="21"/>
        </w:rPr>
      </w:pPr>
    </w:p>
    <w:p w:rsidR="006144F3" w:rsidRDefault="006144F3" w:rsidP="00193027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</w:pPr>
    </w:p>
    <w:p w:rsidR="00195BAC" w:rsidRDefault="00195BAC" w:rsidP="00193027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更多产品</w:t>
      </w:r>
      <w:proofErr w:type="gramStart"/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咨询请</w:t>
      </w:r>
      <w:proofErr w:type="gramEnd"/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联系：</w:t>
      </w:r>
    </w:p>
    <w:p w:rsidR="00562BF9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电话：13901312374</w:t>
      </w:r>
      <w:r w:rsidR="00FD287A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          </w:t>
      </w:r>
    </w:p>
    <w:p w:rsidR="00195BAC" w:rsidRPr="00BF1C46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邮箱：13901312374@139.com</w:t>
      </w:r>
    </w:p>
    <w:p w:rsidR="00195BAC" w:rsidRPr="00FC77EE" w:rsidRDefault="00195BAC" w:rsidP="00FC77EE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z w:val="26"/>
          <w:szCs w:val="26"/>
        </w:rPr>
        <w:drawing>
          <wp:inline distT="0" distB="0" distL="0" distR="0">
            <wp:extent cx="1866900" cy="1866900"/>
            <wp:effectExtent l="19050" t="0" r="0" b="0"/>
            <wp:docPr id="48" name="图片 48" descr="https://mmbiz.qpic.cn/mmbiz_jpg/hRG1wA0P6OE8PlOJLLM4Piap3SdUSXOt8jlR2S7DqqE1iahZd4PzJQibK3ETJrKooZOsWMoUwOUHvqgOrqkFZxEo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mbiz.qpic.cn/mmbiz_jpg/hRG1wA0P6OE8PlOJLLM4Piap3SdUSXOt8jlR2S7DqqE1iahZd4PzJQibK3ETJrKooZOsWMoUwOUHvqgOrqkFZxEow/640?wx_fmt=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BAC" w:rsidRPr="00FC77EE" w:rsidSect="00E4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51F"/>
    <w:multiLevelType w:val="multilevel"/>
    <w:tmpl w:val="01A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10857"/>
    <w:multiLevelType w:val="hybridMultilevel"/>
    <w:tmpl w:val="B0DA3A2E"/>
    <w:lvl w:ilvl="0" w:tplc="D7EC305C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2A122583"/>
    <w:multiLevelType w:val="hybridMultilevel"/>
    <w:tmpl w:val="3E7EF7CE"/>
    <w:lvl w:ilvl="0" w:tplc="26502B58">
      <w:start w:val="1"/>
      <w:numFmt w:val="decimal"/>
      <w:lvlText w:val="%1）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01" w:hanging="420"/>
      </w:pPr>
    </w:lvl>
    <w:lvl w:ilvl="2" w:tplc="0409001B" w:tentative="1">
      <w:start w:val="1"/>
      <w:numFmt w:val="lowerRoman"/>
      <w:lvlText w:val="%3."/>
      <w:lvlJc w:val="righ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ind w:left="7041" w:hanging="420"/>
      </w:pPr>
    </w:lvl>
  </w:abstractNum>
  <w:abstractNum w:abstractNumId="3">
    <w:nsid w:val="43F562AE"/>
    <w:multiLevelType w:val="hybridMultilevel"/>
    <w:tmpl w:val="2E943B64"/>
    <w:lvl w:ilvl="0" w:tplc="812A8B52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15" w:hanging="420"/>
      </w:pPr>
    </w:lvl>
    <w:lvl w:ilvl="2" w:tplc="0409001B" w:tentative="1">
      <w:start w:val="1"/>
      <w:numFmt w:val="lowerRoman"/>
      <w:lvlText w:val="%3."/>
      <w:lvlJc w:val="righ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9" w:tentative="1">
      <w:start w:val="1"/>
      <w:numFmt w:val="lowerLetter"/>
      <w:lvlText w:val="%5)"/>
      <w:lvlJc w:val="left"/>
      <w:pPr>
        <w:ind w:left="3975" w:hanging="420"/>
      </w:pPr>
    </w:lvl>
    <w:lvl w:ilvl="5" w:tplc="0409001B" w:tentative="1">
      <w:start w:val="1"/>
      <w:numFmt w:val="lowerRoman"/>
      <w:lvlText w:val="%6."/>
      <w:lvlJc w:val="righ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9" w:tentative="1">
      <w:start w:val="1"/>
      <w:numFmt w:val="lowerLetter"/>
      <w:lvlText w:val="%8)"/>
      <w:lvlJc w:val="left"/>
      <w:pPr>
        <w:ind w:left="5235" w:hanging="420"/>
      </w:pPr>
    </w:lvl>
    <w:lvl w:ilvl="8" w:tplc="0409001B" w:tentative="1">
      <w:start w:val="1"/>
      <w:numFmt w:val="lowerRoman"/>
      <w:lvlText w:val="%9."/>
      <w:lvlJc w:val="right"/>
      <w:pPr>
        <w:ind w:left="565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26C"/>
    <w:rsid w:val="000213D3"/>
    <w:rsid w:val="00023486"/>
    <w:rsid w:val="00096D37"/>
    <w:rsid w:val="000C4FEB"/>
    <w:rsid w:val="000C5B22"/>
    <w:rsid w:val="00103535"/>
    <w:rsid w:val="001035F2"/>
    <w:rsid w:val="00173DD3"/>
    <w:rsid w:val="00193027"/>
    <w:rsid w:val="00195BAC"/>
    <w:rsid w:val="001B51E6"/>
    <w:rsid w:val="002017CE"/>
    <w:rsid w:val="00254A32"/>
    <w:rsid w:val="00260DB1"/>
    <w:rsid w:val="00263C5E"/>
    <w:rsid w:val="002677C7"/>
    <w:rsid w:val="00291508"/>
    <w:rsid w:val="002E32E4"/>
    <w:rsid w:val="002E3485"/>
    <w:rsid w:val="00372B3F"/>
    <w:rsid w:val="00426908"/>
    <w:rsid w:val="004B704D"/>
    <w:rsid w:val="004E4F22"/>
    <w:rsid w:val="00520D6D"/>
    <w:rsid w:val="0053197F"/>
    <w:rsid w:val="00562BF9"/>
    <w:rsid w:val="00570FC1"/>
    <w:rsid w:val="005878E8"/>
    <w:rsid w:val="00590D64"/>
    <w:rsid w:val="005E79E4"/>
    <w:rsid w:val="006144F3"/>
    <w:rsid w:val="006216D7"/>
    <w:rsid w:val="00621C32"/>
    <w:rsid w:val="0062426C"/>
    <w:rsid w:val="006D02B4"/>
    <w:rsid w:val="00806810"/>
    <w:rsid w:val="008E7826"/>
    <w:rsid w:val="00912D6C"/>
    <w:rsid w:val="00916751"/>
    <w:rsid w:val="00A01162"/>
    <w:rsid w:val="00A37A1C"/>
    <w:rsid w:val="00AC013E"/>
    <w:rsid w:val="00AD178F"/>
    <w:rsid w:val="00AF190B"/>
    <w:rsid w:val="00B25F07"/>
    <w:rsid w:val="00B82CBE"/>
    <w:rsid w:val="00BF1C46"/>
    <w:rsid w:val="00C17165"/>
    <w:rsid w:val="00C577D2"/>
    <w:rsid w:val="00C64C93"/>
    <w:rsid w:val="00CE312B"/>
    <w:rsid w:val="00DD6F43"/>
    <w:rsid w:val="00E357B3"/>
    <w:rsid w:val="00E417E2"/>
    <w:rsid w:val="00E520A9"/>
    <w:rsid w:val="00E97B73"/>
    <w:rsid w:val="00EA4982"/>
    <w:rsid w:val="00EA54B3"/>
    <w:rsid w:val="00EB0DEB"/>
    <w:rsid w:val="00EB1366"/>
    <w:rsid w:val="00EC2A70"/>
    <w:rsid w:val="00F079E7"/>
    <w:rsid w:val="00F20ECA"/>
    <w:rsid w:val="00F6581F"/>
    <w:rsid w:val="00F8546B"/>
    <w:rsid w:val="00FC77EE"/>
    <w:rsid w:val="00FD287A"/>
    <w:rsid w:val="00FD6FC5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E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A498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426C"/>
    <w:rPr>
      <w:b/>
      <w:bCs/>
    </w:rPr>
  </w:style>
  <w:style w:type="character" w:customStyle="1" w:styleId="character">
    <w:name w:val="character"/>
    <w:basedOn w:val="a0"/>
    <w:rsid w:val="0062426C"/>
  </w:style>
  <w:style w:type="paragraph" w:styleId="a5">
    <w:name w:val="Balloon Text"/>
    <w:basedOn w:val="a"/>
    <w:link w:val="Char"/>
    <w:uiPriority w:val="99"/>
    <w:semiHidden/>
    <w:unhideWhenUsed/>
    <w:rsid w:val="0062426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426C"/>
    <w:rPr>
      <w:sz w:val="18"/>
      <w:szCs w:val="18"/>
    </w:rPr>
  </w:style>
  <w:style w:type="paragraph" w:styleId="a6">
    <w:name w:val="List Paragraph"/>
    <w:basedOn w:val="a"/>
    <w:uiPriority w:val="34"/>
    <w:qFormat/>
    <w:rsid w:val="001B51E6"/>
    <w:pPr>
      <w:ind w:firstLineChars="200" w:firstLine="420"/>
    </w:pPr>
  </w:style>
  <w:style w:type="character" w:styleId="a7">
    <w:name w:val="Emphasis"/>
    <w:basedOn w:val="a0"/>
    <w:uiPriority w:val="20"/>
    <w:qFormat/>
    <w:rsid w:val="00DD6F43"/>
    <w:rPr>
      <w:i/>
      <w:iCs/>
    </w:rPr>
  </w:style>
  <w:style w:type="table" w:styleId="a8">
    <w:name w:val="Table Grid"/>
    <w:basedOn w:val="a1"/>
    <w:uiPriority w:val="59"/>
    <w:rsid w:val="00EA5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EA4982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912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3FE7-783B-47E9-9079-4776245F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25</cp:revision>
  <cp:lastPrinted>2020-04-29T04:18:00Z</cp:lastPrinted>
  <dcterms:created xsi:type="dcterms:W3CDTF">2020-04-28T05:47:00Z</dcterms:created>
  <dcterms:modified xsi:type="dcterms:W3CDTF">2020-05-15T07:19:00Z</dcterms:modified>
</cp:coreProperties>
</file>